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554A1" w14:textId="02FA4C58" w:rsidR="00457918" w:rsidRPr="00457918" w:rsidRDefault="00457918" w:rsidP="00457918">
      <w:pPr>
        <w:widowControl w:val="0"/>
        <w:autoSpaceDE w:val="0"/>
        <w:autoSpaceDN w:val="0"/>
        <w:spacing w:before="58" w:line="253" w:lineRule="exact"/>
        <w:ind w:left="1276"/>
        <w:rPr>
          <w:rFonts w:ascii="Calibri" w:eastAsia="Calibri" w:hAnsi="Calibri" w:cs="Calibri"/>
          <w:sz w:val="21"/>
          <w:szCs w:val="22"/>
          <w:lang w:val="es-ES" w:eastAsia="es-ES" w:bidi="es-ES"/>
        </w:rPr>
      </w:pPr>
      <w:r w:rsidRPr="00457918">
        <w:rPr>
          <w:rFonts w:ascii="Calibri" w:eastAsia="Calibri" w:hAnsi="Calibri" w:cs="Calibri"/>
          <w:color w:val="444444"/>
          <w:w w:val="105"/>
          <w:sz w:val="21"/>
          <w:szCs w:val="22"/>
          <w:lang w:val="es-ES" w:eastAsia="es-ES" w:bidi="es-ES"/>
        </w:rPr>
        <w:t>Señores</w:t>
      </w:r>
    </w:p>
    <w:p w14:paraId="172C6A8D" w14:textId="77777777" w:rsidR="00457918" w:rsidRPr="00457918" w:rsidRDefault="00457918" w:rsidP="00457918">
      <w:pPr>
        <w:widowControl w:val="0"/>
        <w:autoSpaceDE w:val="0"/>
        <w:autoSpaceDN w:val="0"/>
        <w:spacing w:line="277" w:lineRule="exact"/>
        <w:ind w:left="1269"/>
        <w:rPr>
          <w:rFonts w:ascii="Calibri" w:eastAsia="Calibri" w:hAnsi="Calibri" w:cs="Calibri"/>
          <w:sz w:val="23"/>
          <w:szCs w:val="22"/>
          <w:lang w:val="es-ES" w:eastAsia="es-ES" w:bidi="es-ES"/>
        </w:rPr>
      </w:pPr>
      <w:r w:rsidRPr="00457918">
        <w:rPr>
          <w:rFonts w:ascii="Calibri" w:eastAsia="Calibri" w:hAnsi="Calibri" w:cs="Calibri"/>
          <w:color w:val="3D3D3D"/>
          <w:sz w:val="23"/>
          <w:szCs w:val="22"/>
          <w:lang w:val="es-ES" w:eastAsia="es-ES" w:bidi="es-ES"/>
        </w:rPr>
        <w:t xml:space="preserve">Representantes </w:t>
      </w:r>
      <w:r w:rsidRPr="00457918">
        <w:rPr>
          <w:rFonts w:ascii="Calibri" w:eastAsia="Calibri" w:hAnsi="Calibri" w:cs="Calibri"/>
          <w:color w:val="494949"/>
          <w:sz w:val="23"/>
          <w:szCs w:val="22"/>
          <w:lang w:val="es-ES" w:eastAsia="es-ES" w:bidi="es-ES"/>
        </w:rPr>
        <w:t xml:space="preserve">de </w:t>
      </w:r>
      <w:r w:rsidRPr="00457918">
        <w:rPr>
          <w:rFonts w:ascii="Calibri" w:eastAsia="Calibri" w:hAnsi="Calibri" w:cs="Calibri"/>
          <w:color w:val="424242"/>
          <w:sz w:val="23"/>
          <w:szCs w:val="22"/>
          <w:lang w:val="es-ES" w:eastAsia="es-ES" w:bidi="es-ES"/>
        </w:rPr>
        <w:t xml:space="preserve">los </w:t>
      </w:r>
      <w:r w:rsidRPr="00457918">
        <w:rPr>
          <w:rFonts w:ascii="Calibri" w:eastAsia="Calibri" w:hAnsi="Calibri" w:cs="Calibri"/>
          <w:color w:val="363636"/>
          <w:sz w:val="23"/>
          <w:szCs w:val="22"/>
          <w:lang w:val="es-ES" w:eastAsia="es-ES" w:bidi="es-ES"/>
        </w:rPr>
        <w:t>Establecimientos</w:t>
      </w:r>
    </w:p>
    <w:p w14:paraId="1E005055" w14:textId="77777777" w:rsidR="00457918" w:rsidRPr="00457918" w:rsidRDefault="00457918" w:rsidP="00457918">
      <w:pPr>
        <w:widowControl w:val="0"/>
        <w:autoSpaceDE w:val="0"/>
        <w:autoSpaceDN w:val="0"/>
        <w:spacing w:before="7" w:line="256" w:lineRule="auto"/>
        <w:ind w:left="1271" w:hanging="5"/>
        <w:rPr>
          <w:rFonts w:ascii="Calibri" w:eastAsia="Calibri" w:hAnsi="Calibri" w:cs="Calibri"/>
          <w:color w:val="313131"/>
          <w:w w:val="105"/>
          <w:sz w:val="21"/>
          <w:szCs w:val="22"/>
          <w:lang w:val="es-ES" w:eastAsia="es-ES" w:bidi="es-ES"/>
        </w:rPr>
      </w:pPr>
      <w:r w:rsidRPr="00457918">
        <w:rPr>
          <w:rFonts w:ascii="Calibri" w:eastAsia="Calibri" w:hAnsi="Calibri" w:cs="Calibri"/>
          <w:color w:val="444444"/>
          <w:w w:val="105"/>
          <w:sz w:val="21"/>
          <w:szCs w:val="22"/>
          <w:lang w:val="es-ES" w:eastAsia="es-ES" w:bidi="es-ES"/>
        </w:rPr>
        <w:t xml:space="preserve">Hoteles, </w:t>
      </w:r>
      <w:r w:rsidRPr="00457918">
        <w:rPr>
          <w:rFonts w:ascii="Calibri" w:eastAsia="Calibri" w:hAnsi="Calibri" w:cs="Calibri"/>
          <w:color w:val="343434"/>
          <w:w w:val="105"/>
          <w:sz w:val="21"/>
          <w:szCs w:val="22"/>
          <w:lang w:val="es-ES" w:eastAsia="es-ES" w:bidi="es-ES"/>
        </w:rPr>
        <w:t xml:space="preserve">Hoteles </w:t>
      </w:r>
      <w:r w:rsidRPr="00457918">
        <w:rPr>
          <w:rFonts w:ascii="Calibri" w:eastAsia="Calibri" w:hAnsi="Calibri" w:cs="Calibri"/>
          <w:color w:val="3A3A3A"/>
          <w:w w:val="105"/>
          <w:sz w:val="21"/>
          <w:szCs w:val="22"/>
          <w:lang w:val="es-ES" w:eastAsia="es-ES" w:bidi="es-ES"/>
        </w:rPr>
        <w:t xml:space="preserve">Apartamento, </w:t>
      </w:r>
      <w:r w:rsidRPr="00457918">
        <w:rPr>
          <w:rFonts w:ascii="Calibri" w:eastAsia="Calibri" w:hAnsi="Calibri" w:cs="Calibri"/>
          <w:color w:val="2B2B2B"/>
          <w:w w:val="105"/>
          <w:sz w:val="21"/>
          <w:szCs w:val="22"/>
          <w:lang w:val="es-ES" w:eastAsia="es-ES" w:bidi="es-ES"/>
        </w:rPr>
        <w:t xml:space="preserve">Hosterías, </w:t>
      </w:r>
      <w:r w:rsidRPr="00457918">
        <w:rPr>
          <w:rFonts w:ascii="Calibri" w:eastAsia="Calibri" w:hAnsi="Calibri" w:cs="Calibri"/>
          <w:color w:val="2A2A2A"/>
          <w:w w:val="105"/>
          <w:sz w:val="21"/>
          <w:szCs w:val="22"/>
          <w:lang w:val="es-ES" w:eastAsia="es-ES" w:bidi="es-ES"/>
        </w:rPr>
        <w:t xml:space="preserve">Haciendas </w:t>
      </w:r>
      <w:r w:rsidRPr="00457918">
        <w:rPr>
          <w:rFonts w:ascii="Calibri" w:eastAsia="Calibri" w:hAnsi="Calibri" w:cs="Calibri"/>
          <w:color w:val="232323"/>
          <w:w w:val="105"/>
          <w:sz w:val="21"/>
          <w:szCs w:val="22"/>
          <w:lang w:val="es-ES" w:eastAsia="es-ES" w:bidi="es-ES"/>
        </w:rPr>
        <w:t xml:space="preserve">Turísticas, </w:t>
      </w:r>
      <w:r w:rsidRPr="00457918">
        <w:rPr>
          <w:rFonts w:ascii="Calibri" w:eastAsia="Calibri" w:hAnsi="Calibri" w:cs="Calibri"/>
          <w:color w:val="2D2D2D"/>
          <w:w w:val="105"/>
          <w:sz w:val="21"/>
          <w:szCs w:val="22"/>
          <w:lang w:val="es-ES" w:eastAsia="es-ES" w:bidi="es-ES"/>
        </w:rPr>
        <w:t xml:space="preserve">Lodges </w:t>
      </w:r>
      <w:r w:rsidRPr="00457918">
        <w:rPr>
          <w:rFonts w:ascii="Calibri" w:eastAsia="Calibri" w:hAnsi="Calibri" w:cs="Calibri"/>
          <w:color w:val="3A3A3A"/>
          <w:w w:val="105"/>
          <w:sz w:val="21"/>
          <w:szCs w:val="22"/>
          <w:lang w:val="es-ES" w:eastAsia="es-ES" w:bidi="es-ES"/>
        </w:rPr>
        <w:t xml:space="preserve">y </w:t>
      </w:r>
      <w:r w:rsidRPr="00457918">
        <w:rPr>
          <w:rFonts w:ascii="Calibri" w:eastAsia="Calibri" w:hAnsi="Calibri" w:cs="Calibri"/>
          <w:color w:val="313131"/>
          <w:w w:val="105"/>
          <w:sz w:val="21"/>
          <w:szCs w:val="22"/>
          <w:lang w:val="es-ES" w:eastAsia="es-ES" w:bidi="es-ES"/>
        </w:rPr>
        <w:t>Resorts</w:t>
      </w:r>
    </w:p>
    <w:p w14:paraId="0D168DB2" w14:textId="77777777" w:rsidR="00457918" w:rsidRPr="00457918" w:rsidRDefault="00457918" w:rsidP="00457918">
      <w:pPr>
        <w:widowControl w:val="0"/>
        <w:autoSpaceDE w:val="0"/>
        <w:autoSpaceDN w:val="0"/>
        <w:spacing w:before="7" w:line="256" w:lineRule="auto"/>
        <w:ind w:left="1271" w:hanging="5"/>
        <w:rPr>
          <w:rFonts w:ascii="Calibri" w:eastAsia="Calibri" w:hAnsi="Calibri" w:cs="Calibri"/>
          <w:sz w:val="21"/>
          <w:szCs w:val="22"/>
          <w:lang w:val="es-ES" w:eastAsia="es-ES" w:bidi="es-ES"/>
        </w:rPr>
      </w:pPr>
      <w:r w:rsidRPr="00457918">
        <w:rPr>
          <w:rFonts w:ascii="Calibri" w:eastAsia="Calibri" w:hAnsi="Calibri" w:cs="Calibri"/>
          <w:color w:val="333333"/>
          <w:w w:val="105"/>
          <w:sz w:val="21"/>
          <w:szCs w:val="22"/>
          <w:lang w:val="es-ES" w:eastAsia="es-ES" w:bidi="es-ES"/>
        </w:rPr>
        <w:t>Presente. -</w:t>
      </w:r>
    </w:p>
    <w:p w14:paraId="711D23DC" w14:textId="77777777" w:rsidR="00457918" w:rsidRPr="00457918" w:rsidRDefault="00457918" w:rsidP="00457918">
      <w:pPr>
        <w:widowControl w:val="0"/>
        <w:autoSpaceDE w:val="0"/>
        <w:autoSpaceDN w:val="0"/>
        <w:spacing w:before="2"/>
        <w:rPr>
          <w:rFonts w:ascii="Calibri" w:eastAsia="Calibri" w:hAnsi="Calibri" w:cs="Calibri"/>
          <w:sz w:val="21"/>
          <w:szCs w:val="21"/>
          <w:lang w:val="es-ES" w:eastAsia="es-ES" w:bidi="es-ES"/>
        </w:rPr>
      </w:pPr>
    </w:p>
    <w:p w14:paraId="05F59979" w14:textId="77777777" w:rsidR="00457918" w:rsidRPr="00457918" w:rsidRDefault="00457918" w:rsidP="00457918">
      <w:pPr>
        <w:widowControl w:val="0"/>
        <w:autoSpaceDE w:val="0"/>
        <w:autoSpaceDN w:val="0"/>
        <w:ind w:left="1274"/>
        <w:rPr>
          <w:rFonts w:ascii="Calibri" w:eastAsia="Calibri" w:hAnsi="Calibri" w:cs="Calibri"/>
          <w:color w:val="3D3D3D"/>
          <w:sz w:val="23"/>
          <w:szCs w:val="22"/>
          <w:lang w:val="es-ES" w:eastAsia="es-ES" w:bidi="es-ES"/>
        </w:rPr>
      </w:pPr>
      <w:r w:rsidRPr="00457918">
        <w:rPr>
          <w:rFonts w:ascii="Calibri" w:eastAsia="Calibri" w:hAnsi="Calibri" w:cs="Calibri"/>
          <w:color w:val="545454"/>
          <w:sz w:val="23"/>
          <w:szCs w:val="22"/>
          <w:lang w:val="es-ES" w:eastAsia="es-ES" w:bidi="es-ES"/>
        </w:rPr>
        <w:t xml:space="preserve">De </w:t>
      </w:r>
      <w:r w:rsidRPr="00457918">
        <w:rPr>
          <w:rFonts w:ascii="Calibri" w:eastAsia="Calibri" w:hAnsi="Calibri" w:cs="Calibri"/>
          <w:color w:val="3F3F3F"/>
          <w:sz w:val="23"/>
          <w:szCs w:val="22"/>
          <w:lang w:val="es-ES" w:eastAsia="es-ES" w:bidi="es-ES"/>
        </w:rPr>
        <w:t xml:space="preserve">mi </w:t>
      </w:r>
      <w:r w:rsidRPr="00457918">
        <w:rPr>
          <w:rFonts w:ascii="Calibri" w:eastAsia="Calibri" w:hAnsi="Calibri" w:cs="Calibri"/>
          <w:color w:val="3D3D3D"/>
          <w:sz w:val="23"/>
          <w:szCs w:val="22"/>
          <w:lang w:val="es-ES" w:eastAsia="es-ES" w:bidi="es-ES"/>
        </w:rPr>
        <w:t>consideración:</w:t>
      </w:r>
    </w:p>
    <w:p w14:paraId="3A0D75D3" w14:textId="77777777" w:rsidR="00457918" w:rsidRPr="00457918" w:rsidRDefault="00457918" w:rsidP="00457918">
      <w:pPr>
        <w:widowControl w:val="0"/>
        <w:autoSpaceDE w:val="0"/>
        <w:autoSpaceDN w:val="0"/>
        <w:ind w:left="1274"/>
        <w:rPr>
          <w:rFonts w:ascii="Calibri" w:eastAsia="Calibri" w:hAnsi="Calibri" w:cs="Calibri"/>
          <w:sz w:val="23"/>
          <w:szCs w:val="22"/>
          <w:lang w:val="es-ES" w:eastAsia="es-ES" w:bidi="es-ES"/>
        </w:rPr>
      </w:pPr>
    </w:p>
    <w:p w14:paraId="316DE257" w14:textId="77777777" w:rsidR="00457918" w:rsidRPr="00457918" w:rsidRDefault="00457918" w:rsidP="00457918">
      <w:pPr>
        <w:widowControl w:val="0"/>
        <w:autoSpaceDE w:val="0"/>
        <w:autoSpaceDN w:val="0"/>
        <w:spacing w:before="3"/>
        <w:ind w:left="1276"/>
        <w:rPr>
          <w:rFonts w:ascii="Calibri" w:eastAsia="Calibri" w:hAnsi="Calibri" w:cs="Calibri"/>
          <w:sz w:val="21"/>
          <w:szCs w:val="21"/>
          <w:lang w:val="es-ES" w:eastAsia="es-ES" w:bidi="es-ES"/>
        </w:rPr>
      </w:pPr>
      <w:r w:rsidRPr="00457918">
        <w:rPr>
          <w:rFonts w:ascii="Calibri" w:eastAsia="Calibri" w:hAnsi="Calibri" w:cs="Calibri"/>
          <w:sz w:val="22"/>
          <w:szCs w:val="21"/>
          <w:lang w:val="es-ES" w:eastAsia="es-ES" w:bidi="es-ES"/>
        </w:rPr>
        <w:t xml:space="preserve">De acuerdo a lo establecido en el Código Municipal, en el </w:t>
      </w:r>
      <w:r w:rsidRPr="00457918">
        <w:rPr>
          <w:rFonts w:ascii="Calibri" w:eastAsia="Calibri" w:hAnsi="Calibri" w:cs="Calibri"/>
          <w:sz w:val="21"/>
          <w:szCs w:val="21"/>
          <w:lang w:val="es-ES" w:eastAsia="es-ES" w:bidi="es-ES"/>
        </w:rPr>
        <w:t>Capítulo XIII DE LA TASA POR FACILIDADES Y SERVICIOS TURÍSTICOS, específicamente en los siguientes artículos:</w:t>
      </w:r>
    </w:p>
    <w:p w14:paraId="5F90F068" w14:textId="77777777" w:rsidR="00457918" w:rsidRPr="00457918" w:rsidRDefault="00457918" w:rsidP="00457918">
      <w:pPr>
        <w:widowControl w:val="0"/>
        <w:autoSpaceDE w:val="0"/>
        <w:autoSpaceDN w:val="0"/>
        <w:spacing w:before="3"/>
        <w:ind w:left="1276"/>
        <w:rPr>
          <w:rFonts w:ascii="Calibri" w:eastAsia="Calibri" w:hAnsi="Calibri" w:cs="Calibri"/>
          <w:sz w:val="21"/>
          <w:szCs w:val="21"/>
          <w:lang w:val="es-ES" w:eastAsia="es-ES" w:bidi="es-ES"/>
        </w:rPr>
      </w:pPr>
    </w:p>
    <w:p w14:paraId="5663A696"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 xml:space="preserve">“Art. 1585.- Exigibilidad. - La tasa se devenga con cada pernoctación por habitación ocupada, realizada en los establecimientos a los que se refiere el segundo inciso del artículo que establece el “Hecho Generador” de esta tasa, haciéndose exigible al momento del registro de la estancia por parte del usuario. El contribuyente está obligado a satisfacer el importe de la tasa, junto con el pago por el servicio de alojamiento que se hubiere prestado al usuario en el establecimiento, según conste del comprobante de venta correspondiente. </w:t>
      </w:r>
    </w:p>
    <w:p w14:paraId="47FABC68"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791ABB8B"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No se genera la tasa en el caso de alojamiento de cortesía o por concesión de gratuidades. Cada establecimiento deberá llevar un registro mensual de huéspedes para comprobar el número de cortesías o gratuidades.</w:t>
      </w:r>
    </w:p>
    <w:p w14:paraId="1199B491"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50B0D5E6"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 xml:space="preserve">Art. 1589.- Procedimientos de recaudación, liquidación, pago y declaración. - Los titulares de los establecimientos de alojamiento turístico a los que se refiere el segundo inciso del artículo que establece el “Hecho Generador” de esta tasa, deben recaudar, declarar y pagar, al administrador del tributo, las tasas recaudadas en el mes inmediatamente anterior al de la fecha de declaración, de conformidad con las reglas previstas en este artículo. </w:t>
      </w:r>
    </w:p>
    <w:p w14:paraId="2B0AAD60"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53AA0707"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 xml:space="preserve">Los agentes de percepción registrarán en los comprobantes de venta, al momento de su emisión, separadamente, la tasa devengada, y efectuarán la correspondiente recaudación del valor de las tasas, de conformidad con el reglamento de comprobantes de venta, retenciones y documentos complementarios. </w:t>
      </w:r>
    </w:p>
    <w:p w14:paraId="3CDC7880"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7107A1FC"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 xml:space="preserve">Dentro de los cinco días subsiguientes a la fecha de transferencia de los valores recaudados, los agentes de percepción que conforme a esta normativa deban transferir los referidos valores recaudados por concepto de la tasa a la cuenta que habilite la Empresa Pública Metropolitana de Gestión de Destino Turístico - Quito Turismo, deberán remitir al administrador del tributo, la información detallada sobre el tributo causado en el correspondiente período. Junto con la información detallada, cuyo formato establecerá la empresa, se justificará documentadamente la transferencia realizada. La declaración deberá presentarse hasta el día 15 de cada mes, sobre los valores recaudados en el mes inmediato anterior. </w:t>
      </w:r>
    </w:p>
    <w:p w14:paraId="4CDE386F"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0427C5C8" w14:textId="7DBC7E18"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 xml:space="preserve">Cuando la fecha de vencimiento coincida con días de descanso obligatorio o feriados, aquella se trasladará al siguiente día hábil. Los gastos que se generen por la realización de los pagos de las tasas referidas serán asumidos por los agentes de percepción. </w:t>
      </w:r>
    </w:p>
    <w:p w14:paraId="6943B8D7"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t>Los sujetos pasivos de los tributos regulados en esta normativa están obligados a proveer todo tipo de información o facilidades que sean requeridas por la Empresa Pública Metropolitana de Gestión de Destino Turístico - Quito Turismo- para el control y verificación de cumplimiento de las obligaciones previstas en esta normativa.</w:t>
      </w:r>
    </w:p>
    <w:p w14:paraId="77CD4CC0"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p>
    <w:p w14:paraId="1A066866" w14:textId="77777777" w:rsidR="00457918" w:rsidRPr="00457918" w:rsidRDefault="00457918" w:rsidP="00457918">
      <w:pPr>
        <w:widowControl w:val="0"/>
        <w:autoSpaceDE w:val="0"/>
        <w:autoSpaceDN w:val="0"/>
        <w:spacing w:before="3"/>
        <w:ind w:left="1276"/>
        <w:jc w:val="both"/>
        <w:rPr>
          <w:rFonts w:ascii="Calibri" w:eastAsia="Calibri" w:hAnsi="Calibri" w:cs="Calibri"/>
          <w:i/>
          <w:sz w:val="21"/>
          <w:szCs w:val="21"/>
          <w:lang w:val="es-ES" w:eastAsia="es-ES" w:bidi="es-ES"/>
        </w:rPr>
      </w:pPr>
      <w:r w:rsidRPr="00457918">
        <w:rPr>
          <w:rFonts w:ascii="Calibri" w:eastAsia="Calibri" w:hAnsi="Calibri" w:cs="Calibri"/>
          <w:i/>
          <w:sz w:val="21"/>
          <w:szCs w:val="21"/>
          <w:lang w:val="es-ES" w:eastAsia="es-ES" w:bidi="es-ES"/>
        </w:rPr>
        <w:lastRenderedPageBreak/>
        <w:t>Art. 1591.- Interés moratorio.- Los agentes de percepción que conforme a esta normativa deban transferir los valores recaudados por concepto de las tasas a la cuenta que habilite la Empresa Pública Metropolitana de Gestión de Destino Turístico - Quito Turismo, deberán autoliquidar y pagar -con las tasas- el interés moratorio, en el modo previsto en el Código Tributario, desde el día siguiente a la fecha en que fenezca el plazo para transferir los valores recaudados en el correspondiente período, hasta la fecha en que efectivamente se acrediten los valores recaudados. Transcurridos treinta días desde la fecha en que hubiere vencido el plazo para que el agente de percepción liquide y pague la tasa, la Empresa Pública Metropolitana de Gestión de Destino Turístico - Quito Turismo iniciará los trámites ordinarios de recaudación de cartera vencida y posteriormente, en caso necesario, iniciará los trámites ordinarios para el cobro coactivo de los valores adeudados”.</w:t>
      </w:r>
    </w:p>
    <w:p w14:paraId="02DFD445" w14:textId="77777777" w:rsidR="00457918" w:rsidRPr="00457918" w:rsidRDefault="00457918" w:rsidP="00457918">
      <w:pPr>
        <w:widowControl w:val="0"/>
        <w:autoSpaceDE w:val="0"/>
        <w:autoSpaceDN w:val="0"/>
        <w:spacing w:before="3"/>
        <w:ind w:left="1276"/>
        <w:rPr>
          <w:rFonts w:ascii="Calibri" w:eastAsia="Calibri" w:hAnsi="Calibri" w:cs="Calibri"/>
          <w:i/>
          <w:sz w:val="21"/>
          <w:szCs w:val="21"/>
          <w:lang w:val="es-ES" w:eastAsia="es-ES" w:bidi="es-ES"/>
        </w:rPr>
      </w:pPr>
    </w:p>
    <w:p w14:paraId="5FDF0BEB" w14:textId="77777777" w:rsidR="00457918" w:rsidRPr="00457918" w:rsidRDefault="00457918" w:rsidP="00457918">
      <w:pPr>
        <w:widowControl w:val="0"/>
        <w:tabs>
          <w:tab w:val="left" w:pos="1276"/>
        </w:tabs>
        <w:autoSpaceDE w:val="0"/>
        <w:autoSpaceDN w:val="0"/>
        <w:spacing w:before="13" w:line="266" w:lineRule="auto"/>
        <w:rPr>
          <w:rFonts w:ascii="Calibri" w:eastAsia="Calibri" w:hAnsi="Calibri" w:cs="Calibri"/>
          <w:color w:val="343434"/>
          <w:sz w:val="22"/>
          <w:szCs w:val="22"/>
          <w:lang w:val="es-ES" w:eastAsia="es-ES" w:bidi="es-ES"/>
        </w:rPr>
      </w:pPr>
      <w:r w:rsidRPr="00457918">
        <w:rPr>
          <w:rFonts w:ascii="Calibri" w:eastAsia="Calibri" w:hAnsi="Calibri" w:cs="Calibri"/>
          <w:color w:val="343434"/>
          <w:sz w:val="22"/>
          <w:szCs w:val="22"/>
          <w:lang w:val="es-ES" w:eastAsia="es-ES" w:bidi="es-ES"/>
        </w:rPr>
        <w:tab/>
        <w:t>Al respecto me permito indicar que los canales de pago son los siguientes:</w:t>
      </w:r>
    </w:p>
    <w:p w14:paraId="0AD920B3" w14:textId="77777777" w:rsidR="00457918" w:rsidRPr="00457918" w:rsidRDefault="00457918" w:rsidP="00457918">
      <w:pPr>
        <w:widowControl w:val="0"/>
        <w:tabs>
          <w:tab w:val="left" w:pos="1276"/>
        </w:tabs>
        <w:autoSpaceDE w:val="0"/>
        <w:autoSpaceDN w:val="0"/>
        <w:spacing w:before="13" w:line="266" w:lineRule="auto"/>
        <w:rPr>
          <w:rFonts w:ascii="Calibri" w:eastAsia="Calibri" w:hAnsi="Calibri" w:cs="Calibri"/>
          <w:color w:val="343434"/>
          <w:sz w:val="22"/>
          <w:szCs w:val="22"/>
          <w:lang w:val="es-ES" w:eastAsia="es-ES" w:bidi="es-ES"/>
        </w:rPr>
      </w:pPr>
    </w:p>
    <w:p w14:paraId="46C833D7" w14:textId="77777777" w:rsidR="00457918" w:rsidRPr="00457918" w:rsidRDefault="00457918" w:rsidP="00131E48">
      <w:pPr>
        <w:widowControl w:val="0"/>
        <w:numPr>
          <w:ilvl w:val="0"/>
          <w:numId w:val="1"/>
        </w:numPr>
        <w:tabs>
          <w:tab w:val="left" w:pos="1929"/>
        </w:tabs>
        <w:autoSpaceDE w:val="0"/>
        <w:autoSpaceDN w:val="0"/>
        <w:spacing w:before="13" w:line="266" w:lineRule="auto"/>
        <w:jc w:val="both"/>
        <w:rPr>
          <w:rFonts w:ascii="Calibri" w:eastAsia="Calibri" w:hAnsi="Calibri" w:cs="Calibri"/>
          <w:color w:val="424242"/>
          <w:sz w:val="22"/>
          <w:szCs w:val="22"/>
          <w:lang w:eastAsia="es-ES" w:bidi="es-ES"/>
        </w:rPr>
      </w:pPr>
      <w:r w:rsidRPr="00457918">
        <w:rPr>
          <w:rFonts w:ascii="Calibri" w:eastAsia="Calibri" w:hAnsi="Calibri" w:cs="Calibri"/>
          <w:color w:val="424242"/>
          <w:sz w:val="22"/>
          <w:szCs w:val="22"/>
          <w:lang w:eastAsia="es-ES" w:bidi="es-ES"/>
        </w:rPr>
        <w:t>BANCA WEB: disponibilidad del canal de banca electrónica, pago facturas. “PASO A PASO”</w:t>
      </w:r>
    </w:p>
    <w:p w14:paraId="09799D85" w14:textId="77777777" w:rsidR="00457918" w:rsidRPr="00457918" w:rsidRDefault="00457918" w:rsidP="00131E48">
      <w:pPr>
        <w:widowControl w:val="0"/>
        <w:numPr>
          <w:ilvl w:val="0"/>
          <w:numId w:val="1"/>
        </w:numPr>
        <w:tabs>
          <w:tab w:val="left" w:pos="1929"/>
        </w:tabs>
        <w:autoSpaceDE w:val="0"/>
        <w:autoSpaceDN w:val="0"/>
        <w:spacing w:before="13" w:line="266" w:lineRule="auto"/>
        <w:jc w:val="both"/>
        <w:rPr>
          <w:rFonts w:ascii="Calibri" w:eastAsia="Calibri" w:hAnsi="Calibri" w:cs="Calibri"/>
          <w:color w:val="424242"/>
          <w:sz w:val="22"/>
          <w:szCs w:val="22"/>
          <w:lang w:eastAsia="es-ES" w:bidi="es-ES"/>
        </w:rPr>
      </w:pPr>
      <w:r w:rsidRPr="00457918">
        <w:rPr>
          <w:rFonts w:ascii="Calibri" w:eastAsia="Calibri" w:hAnsi="Calibri" w:cs="Calibri"/>
          <w:color w:val="424242"/>
          <w:sz w:val="22"/>
          <w:szCs w:val="22"/>
          <w:lang w:eastAsia="es-ES" w:bidi="es-ES"/>
        </w:rPr>
        <w:t xml:space="preserve">VENTANILLAS: puede acercarse a las agencias a realizar la recaudación con el código: </w:t>
      </w:r>
      <w:r w:rsidRPr="00457918">
        <w:rPr>
          <w:rFonts w:ascii="Calibri" w:eastAsia="Calibri" w:hAnsi="Calibri" w:cs="Calibri"/>
          <w:b/>
          <w:bCs/>
          <w:color w:val="424242"/>
          <w:sz w:val="22"/>
          <w:szCs w:val="22"/>
          <w:lang w:eastAsia="es-ES" w:bidi="es-ES"/>
        </w:rPr>
        <w:t>16728</w:t>
      </w:r>
      <w:r w:rsidRPr="00457918">
        <w:rPr>
          <w:rFonts w:ascii="Calibri" w:eastAsia="Calibri" w:hAnsi="Calibri" w:cs="Calibri"/>
          <w:color w:val="424242"/>
          <w:sz w:val="22"/>
          <w:szCs w:val="22"/>
          <w:lang w:eastAsia="es-ES" w:bidi="es-ES"/>
        </w:rPr>
        <w:t>.</w:t>
      </w:r>
    </w:p>
    <w:p w14:paraId="199CA5B3" w14:textId="77777777" w:rsidR="00457918" w:rsidRPr="00457918" w:rsidRDefault="00457918" w:rsidP="002271BA">
      <w:pPr>
        <w:widowControl w:val="0"/>
        <w:tabs>
          <w:tab w:val="left" w:pos="1929"/>
        </w:tabs>
        <w:autoSpaceDE w:val="0"/>
        <w:autoSpaceDN w:val="0"/>
        <w:spacing w:before="13"/>
        <w:rPr>
          <w:rFonts w:ascii="Calibri" w:eastAsia="Calibri" w:hAnsi="Calibri" w:cs="Calibri"/>
          <w:sz w:val="20"/>
          <w:szCs w:val="22"/>
          <w:lang w:val="es-ES" w:eastAsia="es-ES" w:bidi="es-ES"/>
        </w:rPr>
      </w:pPr>
      <w:r w:rsidRPr="00457918">
        <w:rPr>
          <w:rFonts w:ascii="Calibri" w:eastAsia="Calibri" w:hAnsi="Calibri" w:cs="Calibri"/>
          <w:color w:val="424242"/>
          <w:sz w:val="22"/>
          <w:szCs w:val="22"/>
          <w:lang w:val="es-ES" w:eastAsia="es-ES" w:bidi="es-ES"/>
        </w:rPr>
        <w:t xml:space="preserve"> </w:t>
      </w:r>
      <w:r w:rsidRPr="00457918">
        <w:rPr>
          <w:rFonts w:ascii="Calibri" w:eastAsia="Calibri" w:hAnsi="Calibri" w:cs="Calibri"/>
          <w:i/>
          <w:sz w:val="20"/>
          <w:szCs w:val="22"/>
          <w:lang w:val="es-ES" w:eastAsia="es-ES" w:bidi="es-ES"/>
        </w:rPr>
        <w:t xml:space="preserve">   </w:t>
      </w:r>
    </w:p>
    <w:p w14:paraId="4733481A" w14:textId="77777777" w:rsidR="00131E48" w:rsidRDefault="00457918" w:rsidP="00131E48">
      <w:pPr>
        <w:widowControl w:val="0"/>
        <w:autoSpaceDE w:val="0"/>
        <w:autoSpaceDN w:val="0"/>
        <w:spacing w:before="188"/>
        <w:ind w:left="1219"/>
        <w:jc w:val="both"/>
        <w:rPr>
          <w:rFonts w:ascii="Calibri" w:eastAsia="Calibri" w:hAnsi="Calibri" w:cs="Calibri"/>
          <w:color w:val="383838"/>
          <w:sz w:val="22"/>
          <w:szCs w:val="22"/>
          <w:lang w:val="es-ES" w:eastAsia="es-ES" w:bidi="es-ES"/>
        </w:rPr>
      </w:pPr>
      <w:r w:rsidRPr="00457918">
        <w:rPr>
          <w:rFonts w:ascii="Calibri" w:eastAsia="Calibri" w:hAnsi="Calibri" w:cs="Calibri"/>
          <w:color w:val="383838"/>
          <w:sz w:val="22"/>
          <w:szCs w:val="22"/>
          <w:lang w:val="es-ES" w:eastAsia="es-ES" w:bidi="es-ES"/>
        </w:rPr>
        <w:t xml:space="preserve">De conformidad a lo establecido en el Art.1589 </w:t>
      </w:r>
      <w:r w:rsidRPr="00457918">
        <w:rPr>
          <w:rFonts w:ascii="Calibri" w:eastAsia="Calibri" w:hAnsi="Calibri" w:cs="Calibri"/>
          <w:color w:val="3F3F3F"/>
          <w:sz w:val="22"/>
          <w:szCs w:val="22"/>
          <w:lang w:val="es-ES" w:eastAsia="es-ES" w:bidi="es-ES"/>
        </w:rPr>
        <w:t xml:space="preserve">párrafo </w:t>
      </w:r>
      <w:r w:rsidRPr="00457918">
        <w:rPr>
          <w:rFonts w:ascii="Calibri" w:eastAsia="Calibri" w:hAnsi="Calibri" w:cs="Calibri"/>
          <w:color w:val="414141"/>
          <w:sz w:val="22"/>
          <w:szCs w:val="22"/>
          <w:lang w:val="es-ES" w:eastAsia="es-ES" w:bidi="es-ES"/>
        </w:rPr>
        <w:t>3...”</w:t>
      </w:r>
      <w:r w:rsidRPr="00457918">
        <w:rPr>
          <w:rFonts w:ascii="Calibri" w:eastAsia="Calibri" w:hAnsi="Calibri" w:cs="Calibri"/>
          <w:sz w:val="22"/>
          <w:szCs w:val="22"/>
          <w:lang w:val="es-ES" w:eastAsia="es-ES" w:bidi="es-ES"/>
        </w:rPr>
        <w:t xml:space="preserve"> </w:t>
      </w:r>
      <w:r w:rsidRPr="00457918">
        <w:rPr>
          <w:rFonts w:ascii="Calibri" w:eastAsia="Calibri" w:hAnsi="Calibri" w:cs="Calibri"/>
          <w:i/>
          <w:sz w:val="22"/>
          <w:szCs w:val="22"/>
          <w:lang w:val="es-ES" w:eastAsia="es-ES" w:bidi="es-ES"/>
        </w:rPr>
        <w:t>deberán remitir al administrador del tributo, la información detallada sobre el tributo causado en el correspondiente período. Junto con la información detallada, cuyo formato establecerá la empresa, se justificará documentadamente la transferencia realizada. La declaración deberá presentarse hasta el día 15 de cada mes, sobre los valores recaudados en el mes inmediato anterior.</w:t>
      </w:r>
      <w:r w:rsidRPr="00457918">
        <w:rPr>
          <w:rFonts w:ascii="Calibri" w:eastAsia="Calibri" w:hAnsi="Calibri" w:cs="Calibri"/>
          <w:sz w:val="22"/>
          <w:szCs w:val="22"/>
          <w:lang w:val="es-ES" w:eastAsia="es-ES" w:bidi="es-ES"/>
        </w:rPr>
        <w:t xml:space="preserve"> “; </w:t>
      </w:r>
      <w:r w:rsidRPr="00457918">
        <w:rPr>
          <w:rFonts w:ascii="Calibri" w:eastAsia="Calibri" w:hAnsi="Calibri" w:cs="Calibri"/>
          <w:color w:val="3D3D3D"/>
          <w:sz w:val="22"/>
          <w:szCs w:val="22"/>
          <w:lang w:val="es-ES" w:eastAsia="es-ES" w:bidi="es-ES"/>
        </w:rPr>
        <w:t xml:space="preserve">los agentes </w:t>
      </w:r>
      <w:r w:rsidRPr="00457918">
        <w:rPr>
          <w:rFonts w:ascii="Calibri" w:eastAsia="Calibri" w:hAnsi="Calibri" w:cs="Calibri"/>
          <w:color w:val="2D2D2D"/>
          <w:sz w:val="22"/>
          <w:szCs w:val="22"/>
          <w:lang w:val="es-ES" w:eastAsia="es-ES" w:bidi="es-ES"/>
        </w:rPr>
        <w:t xml:space="preserve">de </w:t>
      </w:r>
      <w:r w:rsidRPr="00457918">
        <w:rPr>
          <w:rFonts w:ascii="Calibri" w:eastAsia="Calibri" w:hAnsi="Calibri" w:cs="Calibri"/>
          <w:color w:val="383838"/>
          <w:sz w:val="22"/>
          <w:szCs w:val="22"/>
          <w:lang w:val="es-ES" w:eastAsia="es-ES" w:bidi="es-ES"/>
        </w:rPr>
        <w:t xml:space="preserve">percepción </w:t>
      </w:r>
      <w:r w:rsidRPr="00457918">
        <w:rPr>
          <w:rFonts w:ascii="Calibri" w:eastAsia="Calibri" w:hAnsi="Calibri" w:cs="Calibri"/>
          <w:color w:val="343434"/>
          <w:sz w:val="22"/>
          <w:szCs w:val="22"/>
          <w:lang w:val="es-ES" w:eastAsia="es-ES" w:bidi="es-ES"/>
        </w:rPr>
        <w:t xml:space="preserve">deberán </w:t>
      </w:r>
      <w:r w:rsidRPr="00457918">
        <w:rPr>
          <w:rFonts w:ascii="Calibri" w:eastAsia="Calibri" w:hAnsi="Calibri" w:cs="Calibri"/>
          <w:color w:val="3D3D3D"/>
          <w:sz w:val="22"/>
          <w:szCs w:val="22"/>
          <w:lang w:val="es-ES" w:eastAsia="es-ES" w:bidi="es-ES"/>
        </w:rPr>
        <w:t xml:space="preserve">registrar </w:t>
      </w:r>
      <w:r w:rsidRPr="00457918">
        <w:rPr>
          <w:rFonts w:ascii="Calibri" w:eastAsia="Calibri" w:hAnsi="Calibri" w:cs="Calibri"/>
          <w:color w:val="464646"/>
          <w:sz w:val="22"/>
          <w:szCs w:val="22"/>
          <w:lang w:val="es-ES" w:eastAsia="es-ES" w:bidi="es-ES"/>
        </w:rPr>
        <w:t xml:space="preserve">de </w:t>
      </w:r>
      <w:r w:rsidRPr="00457918">
        <w:rPr>
          <w:rFonts w:ascii="Calibri" w:eastAsia="Calibri" w:hAnsi="Calibri" w:cs="Calibri"/>
          <w:color w:val="3F3F3F"/>
          <w:sz w:val="22"/>
          <w:szCs w:val="22"/>
          <w:lang w:val="es-ES" w:eastAsia="es-ES" w:bidi="es-ES"/>
        </w:rPr>
        <w:t xml:space="preserve">manera </w:t>
      </w:r>
      <w:r w:rsidRPr="00457918">
        <w:rPr>
          <w:rFonts w:ascii="Calibri" w:eastAsia="Calibri" w:hAnsi="Calibri" w:cs="Calibri"/>
          <w:color w:val="464646"/>
          <w:sz w:val="22"/>
          <w:szCs w:val="22"/>
          <w:lang w:val="es-ES" w:eastAsia="es-ES" w:bidi="es-ES"/>
        </w:rPr>
        <w:t xml:space="preserve">obligatoria </w:t>
      </w:r>
      <w:r w:rsidRPr="00457918">
        <w:rPr>
          <w:rFonts w:ascii="Calibri" w:eastAsia="Calibri" w:hAnsi="Calibri" w:cs="Calibri"/>
          <w:color w:val="4B4B4B"/>
          <w:sz w:val="22"/>
          <w:szCs w:val="22"/>
          <w:lang w:val="es-ES" w:eastAsia="es-ES" w:bidi="es-ES"/>
        </w:rPr>
        <w:t xml:space="preserve">la </w:t>
      </w:r>
      <w:r w:rsidRPr="00457918">
        <w:rPr>
          <w:rFonts w:ascii="Calibri" w:eastAsia="Calibri" w:hAnsi="Calibri" w:cs="Calibri"/>
          <w:color w:val="363636"/>
          <w:sz w:val="22"/>
          <w:szCs w:val="22"/>
          <w:lang w:val="es-ES" w:eastAsia="es-ES" w:bidi="es-ES"/>
        </w:rPr>
        <w:t xml:space="preserve">información solicitada, </w:t>
      </w:r>
      <w:r w:rsidRPr="00457918">
        <w:rPr>
          <w:rFonts w:ascii="Calibri" w:eastAsia="Calibri" w:hAnsi="Calibri" w:cs="Calibri"/>
          <w:color w:val="494949"/>
          <w:sz w:val="22"/>
          <w:szCs w:val="22"/>
          <w:lang w:val="es-ES" w:eastAsia="es-ES" w:bidi="es-ES"/>
        </w:rPr>
        <w:t xml:space="preserve">ya que si </w:t>
      </w:r>
      <w:r w:rsidRPr="00457918">
        <w:rPr>
          <w:rFonts w:ascii="Calibri" w:eastAsia="Calibri" w:hAnsi="Calibri" w:cs="Calibri"/>
          <w:color w:val="313131"/>
          <w:sz w:val="22"/>
          <w:szCs w:val="22"/>
          <w:lang w:val="es-ES" w:eastAsia="es-ES" w:bidi="es-ES"/>
        </w:rPr>
        <w:t xml:space="preserve">no lo realizan </w:t>
      </w:r>
      <w:r w:rsidRPr="00457918">
        <w:rPr>
          <w:rFonts w:ascii="Calibri" w:eastAsia="Calibri" w:hAnsi="Calibri" w:cs="Calibri"/>
          <w:color w:val="3B3B3B"/>
          <w:sz w:val="22"/>
          <w:szCs w:val="22"/>
          <w:lang w:val="es-ES" w:eastAsia="es-ES" w:bidi="es-ES"/>
        </w:rPr>
        <w:t>sería im</w:t>
      </w:r>
      <w:r w:rsidRPr="00457918">
        <w:rPr>
          <w:rFonts w:ascii="Calibri" w:eastAsia="Calibri" w:hAnsi="Calibri" w:cs="Calibri"/>
          <w:color w:val="414141"/>
          <w:sz w:val="22"/>
          <w:szCs w:val="22"/>
          <w:lang w:val="es-ES" w:eastAsia="es-ES" w:bidi="es-ES"/>
        </w:rPr>
        <w:t xml:space="preserve">posible </w:t>
      </w:r>
      <w:r w:rsidRPr="00457918">
        <w:rPr>
          <w:rFonts w:ascii="Calibri" w:eastAsia="Calibri" w:hAnsi="Calibri" w:cs="Calibri"/>
          <w:color w:val="2D2D2D"/>
          <w:sz w:val="22"/>
          <w:szCs w:val="22"/>
          <w:lang w:val="es-ES" w:eastAsia="es-ES" w:bidi="es-ES"/>
        </w:rPr>
        <w:t xml:space="preserve">identificar </w:t>
      </w:r>
      <w:r w:rsidRPr="00457918">
        <w:rPr>
          <w:rFonts w:ascii="Calibri" w:eastAsia="Calibri" w:hAnsi="Calibri" w:cs="Calibri"/>
          <w:color w:val="4D4D4D"/>
          <w:sz w:val="22"/>
          <w:szCs w:val="22"/>
          <w:lang w:val="es-ES" w:eastAsia="es-ES" w:bidi="es-ES"/>
        </w:rPr>
        <w:t xml:space="preserve">el </w:t>
      </w:r>
      <w:r w:rsidRPr="00457918">
        <w:rPr>
          <w:rFonts w:ascii="Calibri" w:eastAsia="Calibri" w:hAnsi="Calibri" w:cs="Calibri"/>
          <w:color w:val="464646"/>
          <w:sz w:val="22"/>
          <w:szCs w:val="22"/>
          <w:lang w:val="es-ES" w:eastAsia="es-ES" w:bidi="es-ES"/>
        </w:rPr>
        <w:t>pago; lo cual generaría</w:t>
      </w:r>
      <w:r w:rsidRPr="00457918">
        <w:rPr>
          <w:rFonts w:ascii="Calibri" w:eastAsia="Calibri" w:hAnsi="Calibri" w:cs="Calibri"/>
          <w:color w:val="414141"/>
          <w:sz w:val="22"/>
          <w:szCs w:val="22"/>
          <w:lang w:val="es-ES" w:eastAsia="es-ES" w:bidi="es-ES"/>
        </w:rPr>
        <w:t xml:space="preserve"> </w:t>
      </w:r>
      <w:r w:rsidRPr="00457918">
        <w:rPr>
          <w:rFonts w:ascii="Calibri" w:eastAsia="Calibri" w:hAnsi="Calibri" w:cs="Calibri"/>
          <w:color w:val="444444"/>
          <w:sz w:val="22"/>
          <w:szCs w:val="22"/>
          <w:lang w:val="es-ES" w:eastAsia="es-ES" w:bidi="es-ES"/>
        </w:rPr>
        <w:t xml:space="preserve">gestión </w:t>
      </w:r>
      <w:r w:rsidRPr="00457918">
        <w:rPr>
          <w:rFonts w:ascii="Calibri" w:eastAsia="Calibri" w:hAnsi="Calibri" w:cs="Calibri"/>
          <w:color w:val="424242"/>
          <w:sz w:val="22"/>
          <w:szCs w:val="22"/>
          <w:lang w:val="es-ES" w:eastAsia="es-ES" w:bidi="es-ES"/>
        </w:rPr>
        <w:t xml:space="preserve">de </w:t>
      </w:r>
      <w:r w:rsidRPr="00457918">
        <w:rPr>
          <w:rFonts w:ascii="Calibri" w:eastAsia="Calibri" w:hAnsi="Calibri" w:cs="Calibri"/>
          <w:color w:val="3A3A3A"/>
          <w:sz w:val="22"/>
          <w:szCs w:val="22"/>
          <w:lang w:val="es-ES" w:eastAsia="es-ES" w:bidi="es-ES"/>
        </w:rPr>
        <w:t xml:space="preserve">cobranza </w:t>
      </w:r>
      <w:r w:rsidRPr="00457918">
        <w:rPr>
          <w:rFonts w:ascii="Calibri" w:eastAsia="Calibri" w:hAnsi="Calibri" w:cs="Calibri"/>
          <w:color w:val="424242"/>
          <w:sz w:val="22"/>
          <w:szCs w:val="22"/>
          <w:lang w:val="es-ES" w:eastAsia="es-ES" w:bidi="es-ES"/>
        </w:rPr>
        <w:t xml:space="preserve">por </w:t>
      </w:r>
      <w:r w:rsidRPr="00457918">
        <w:rPr>
          <w:rFonts w:ascii="Calibri" w:eastAsia="Calibri" w:hAnsi="Calibri" w:cs="Calibri"/>
          <w:color w:val="444444"/>
          <w:sz w:val="22"/>
          <w:szCs w:val="22"/>
          <w:lang w:val="es-ES" w:eastAsia="es-ES" w:bidi="es-ES"/>
        </w:rPr>
        <w:t xml:space="preserve">parte </w:t>
      </w:r>
      <w:r w:rsidRPr="00457918">
        <w:rPr>
          <w:rFonts w:ascii="Calibri" w:eastAsia="Calibri" w:hAnsi="Calibri" w:cs="Calibri"/>
          <w:color w:val="3B3B3B"/>
          <w:sz w:val="22"/>
          <w:szCs w:val="22"/>
          <w:lang w:val="es-ES" w:eastAsia="es-ES" w:bidi="es-ES"/>
        </w:rPr>
        <w:t xml:space="preserve">de </w:t>
      </w:r>
      <w:r w:rsidRPr="00457918">
        <w:rPr>
          <w:rFonts w:ascii="Calibri" w:eastAsia="Calibri" w:hAnsi="Calibri" w:cs="Calibri"/>
          <w:color w:val="343434"/>
          <w:sz w:val="22"/>
          <w:szCs w:val="22"/>
          <w:lang w:val="es-ES" w:eastAsia="es-ES" w:bidi="es-ES"/>
        </w:rPr>
        <w:t xml:space="preserve">Quito </w:t>
      </w:r>
      <w:r w:rsidRPr="00457918">
        <w:rPr>
          <w:rFonts w:ascii="Calibri" w:eastAsia="Calibri" w:hAnsi="Calibri" w:cs="Calibri"/>
          <w:color w:val="363636"/>
          <w:sz w:val="22"/>
          <w:szCs w:val="22"/>
          <w:lang w:val="es-ES" w:eastAsia="es-ES" w:bidi="es-ES"/>
        </w:rPr>
        <w:t xml:space="preserve">Turismo, </w:t>
      </w:r>
      <w:r w:rsidRPr="00457918">
        <w:rPr>
          <w:rFonts w:ascii="Calibri" w:eastAsia="Calibri" w:hAnsi="Calibri" w:cs="Calibri"/>
          <w:color w:val="383838"/>
          <w:sz w:val="22"/>
          <w:szCs w:val="22"/>
          <w:lang w:val="es-ES" w:eastAsia="es-ES" w:bidi="es-ES"/>
        </w:rPr>
        <w:t>y la generación</w:t>
      </w:r>
      <w:r w:rsidRPr="00457918">
        <w:rPr>
          <w:rFonts w:ascii="Calibri" w:eastAsia="Calibri" w:hAnsi="Calibri" w:cs="Calibri"/>
          <w:color w:val="3B3B3B"/>
          <w:sz w:val="22"/>
          <w:szCs w:val="22"/>
          <w:lang w:val="es-ES" w:eastAsia="es-ES" w:bidi="es-ES"/>
        </w:rPr>
        <w:t xml:space="preserve"> </w:t>
      </w:r>
      <w:r w:rsidRPr="00457918">
        <w:rPr>
          <w:rFonts w:ascii="Calibri" w:eastAsia="Calibri" w:hAnsi="Calibri" w:cs="Calibri"/>
          <w:color w:val="545454"/>
          <w:sz w:val="22"/>
          <w:szCs w:val="22"/>
          <w:lang w:val="es-ES" w:eastAsia="es-ES" w:bidi="es-ES"/>
        </w:rPr>
        <w:t xml:space="preserve">de </w:t>
      </w:r>
      <w:r w:rsidRPr="00457918">
        <w:rPr>
          <w:rFonts w:ascii="Calibri" w:eastAsia="Calibri" w:hAnsi="Calibri" w:cs="Calibri"/>
          <w:color w:val="464646"/>
          <w:sz w:val="22"/>
          <w:szCs w:val="22"/>
          <w:lang w:val="es-ES" w:eastAsia="es-ES" w:bidi="es-ES"/>
        </w:rPr>
        <w:t xml:space="preserve">interés de </w:t>
      </w:r>
      <w:r w:rsidRPr="00457918">
        <w:rPr>
          <w:rFonts w:ascii="Calibri" w:eastAsia="Calibri" w:hAnsi="Calibri" w:cs="Calibri"/>
          <w:color w:val="383838"/>
          <w:sz w:val="22"/>
          <w:szCs w:val="22"/>
          <w:lang w:val="es-ES" w:eastAsia="es-ES" w:bidi="es-ES"/>
        </w:rPr>
        <w:t xml:space="preserve">acuerdo </w:t>
      </w:r>
      <w:r w:rsidRPr="00457918">
        <w:rPr>
          <w:rFonts w:ascii="Calibri" w:eastAsia="Calibri" w:hAnsi="Calibri" w:cs="Calibri"/>
          <w:color w:val="3F3F3F"/>
          <w:sz w:val="22"/>
          <w:szCs w:val="22"/>
          <w:lang w:val="es-ES" w:eastAsia="es-ES" w:bidi="es-ES"/>
        </w:rPr>
        <w:t xml:space="preserve">al </w:t>
      </w:r>
      <w:r w:rsidRPr="00457918">
        <w:rPr>
          <w:rFonts w:ascii="Calibri" w:eastAsia="Calibri" w:hAnsi="Calibri" w:cs="Calibri"/>
          <w:color w:val="333333"/>
          <w:sz w:val="22"/>
          <w:szCs w:val="22"/>
          <w:lang w:val="es-ES" w:eastAsia="es-ES" w:bidi="es-ES"/>
        </w:rPr>
        <w:t xml:space="preserve">Art. </w:t>
      </w:r>
      <w:r w:rsidRPr="00457918">
        <w:rPr>
          <w:rFonts w:ascii="Calibri" w:eastAsia="Calibri" w:hAnsi="Calibri" w:cs="Calibri"/>
          <w:color w:val="3D3D3D"/>
          <w:sz w:val="22"/>
          <w:szCs w:val="22"/>
          <w:lang w:val="es-ES" w:eastAsia="es-ES" w:bidi="es-ES"/>
        </w:rPr>
        <w:t xml:space="preserve">1591 </w:t>
      </w:r>
      <w:r w:rsidRPr="00457918">
        <w:rPr>
          <w:rFonts w:ascii="Calibri" w:eastAsia="Calibri" w:hAnsi="Calibri" w:cs="Calibri"/>
          <w:color w:val="3F3F3F"/>
          <w:sz w:val="22"/>
          <w:szCs w:val="22"/>
          <w:lang w:val="es-ES" w:eastAsia="es-ES" w:bidi="es-ES"/>
        </w:rPr>
        <w:t xml:space="preserve">del </w:t>
      </w:r>
      <w:r w:rsidRPr="00457918">
        <w:rPr>
          <w:rFonts w:ascii="Calibri" w:eastAsia="Calibri" w:hAnsi="Calibri" w:cs="Calibri"/>
          <w:color w:val="383838"/>
          <w:sz w:val="22"/>
          <w:szCs w:val="22"/>
          <w:lang w:val="es-ES" w:eastAsia="es-ES" w:bidi="es-ES"/>
        </w:rPr>
        <w:t>Código Municipal.</w:t>
      </w:r>
    </w:p>
    <w:p w14:paraId="24B6DBC7" w14:textId="010E2A7B" w:rsidR="00457918" w:rsidRPr="00457918" w:rsidRDefault="00457918" w:rsidP="00131E48">
      <w:pPr>
        <w:widowControl w:val="0"/>
        <w:autoSpaceDE w:val="0"/>
        <w:autoSpaceDN w:val="0"/>
        <w:spacing w:before="188"/>
        <w:ind w:left="1219"/>
        <w:jc w:val="both"/>
        <w:rPr>
          <w:rFonts w:ascii="Calibri" w:eastAsia="Calibri" w:hAnsi="Calibri" w:cs="Calibri"/>
          <w:color w:val="383838"/>
          <w:sz w:val="22"/>
          <w:szCs w:val="22"/>
          <w:lang w:val="es-ES" w:eastAsia="es-ES" w:bidi="es-ES"/>
        </w:rPr>
      </w:pPr>
      <w:r w:rsidRPr="00457918">
        <w:rPr>
          <w:rFonts w:ascii="Calibri" w:eastAsia="Calibri" w:hAnsi="Calibri" w:cs="Calibri"/>
          <w:color w:val="4F4F4F"/>
          <w:sz w:val="22"/>
          <w:szCs w:val="22"/>
          <w:lang w:val="es-ES" w:eastAsia="es-ES" w:bidi="es-ES"/>
        </w:rPr>
        <w:t>A continuación, sírvase encontrar el link en el cual deben realizar el registro</w:t>
      </w:r>
      <w:bookmarkStart w:id="0" w:name="_GoBack"/>
      <w:bookmarkEnd w:id="0"/>
      <w:r w:rsidR="00131E48">
        <w:rPr>
          <w:rFonts w:ascii="Calibri" w:eastAsia="Calibri" w:hAnsi="Calibri" w:cs="Calibri"/>
          <w:color w:val="4F4F4F"/>
          <w:sz w:val="22"/>
          <w:szCs w:val="22"/>
          <w:lang w:val="es-ES" w:eastAsia="es-ES" w:bidi="es-ES"/>
        </w:rPr>
        <w:t xml:space="preserve"> </w:t>
      </w:r>
      <w:r w:rsidRPr="00457918">
        <w:rPr>
          <w:rFonts w:ascii="Calibri" w:eastAsia="Calibri" w:hAnsi="Calibri" w:cs="Calibri"/>
          <w:color w:val="4F4F4F"/>
          <w:sz w:val="22"/>
          <w:szCs w:val="22"/>
          <w:lang w:val="es-ES" w:eastAsia="es-ES" w:bidi="es-ES"/>
        </w:rPr>
        <w:t>mensual de lo recaudado de la Tasa de Facilidades y Servicios Turísticos</w:t>
      </w:r>
      <w:r w:rsidR="00131E48">
        <w:rPr>
          <w:rFonts w:ascii="Calibri" w:eastAsia="Calibri" w:hAnsi="Calibri" w:cs="Calibri"/>
          <w:color w:val="4F4F4F"/>
          <w:sz w:val="22"/>
          <w:szCs w:val="22"/>
          <w:lang w:val="es-ES" w:eastAsia="es-ES" w:bidi="es-ES"/>
        </w:rPr>
        <w:t>:</w:t>
      </w:r>
    </w:p>
    <w:p w14:paraId="48DC117B" w14:textId="3BDCD356" w:rsidR="00131E48" w:rsidRDefault="00131E48" w:rsidP="00131E48">
      <w:pPr>
        <w:widowControl w:val="0"/>
        <w:autoSpaceDE w:val="0"/>
        <w:autoSpaceDN w:val="0"/>
        <w:spacing w:before="188"/>
        <w:ind w:left="1211" w:firstLine="65"/>
        <w:rPr>
          <w:rFonts w:ascii="Calibri" w:eastAsia="Calibri" w:hAnsi="Calibri" w:cs="Calibri"/>
          <w:color w:val="464646"/>
          <w:sz w:val="22"/>
          <w:szCs w:val="22"/>
          <w:lang w:val="es-ES" w:eastAsia="es-ES" w:bidi="es-ES"/>
        </w:rPr>
      </w:pPr>
      <w:r>
        <w:rPr>
          <w:rFonts w:ascii="Calibri" w:eastAsia="Calibri" w:hAnsi="Calibri" w:cs="Calibri"/>
          <w:color w:val="464646"/>
          <w:sz w:val="22"/>
          <w:szCs w:val="22"/>
          <w:lang w:val="es-ES" w:eastAsia="es-ES" w:bidi="es-ES"/>
        </w:rPr>
        <w:t xml:space="preserve">Link: </w:t>
      </w:r>
      <w:hyperlink r:id="rId7" w:history="1">
        <w:r w:rsidRPr="00D8063C">
          <w:rPr>
            <w:rStyle w:val="Hipervnculo"/>
            <w:rFonts w:ascii="Calibri" w:eastAsia="Calibri" w:hAnsi="Calibri" w:cs="Calibri"/>
            <w:sz w:val="22"/>
            <w:szCs w:val="22"/>
            <w:lang w:val="es-ES" w:eastAsia="es-ES" w:bidi="es-ES"/>
          </w:rPr>
          <w:t>http://172.16.1.152:8080/tasahotelera.aspx</w:t>
        </w:r>
      </w:hyperlink>
      <w:r>
        <w:rPr>
          <w:rFonts w:ascii="Calibri" w:eastAsia="Calibri" w:hAnsi="Calibri" w:cs="Calibri"/>
          <w:color w:val="464646"/>
          <w:sz w:val="22"/>
          <w:szCs w:val="22"/>
          <w:lang w:val="es-ES" w:eastAsia="es-ES" w:bidi="es-ES"/>
        </w:rPr>
        <w:t xml:space="preserve"> </w:t>
      </w:r>
    </w:p>
    <w:p w14:paraId="06A3614E" w14:textId="44A7C7A2" w:rsidR="00457918" w:rsidRPr="00457918" w:rsidRDefault="00131E48" w:rsidP="00131E48">
      <w:pPr>
        <w:widowControl w:val="0"/>
        <w:autoSpaceDE w:val="0"/>
        <w:autoSpaceDN w:val="0"/>
        <w:spacing w:before="188"/>
        <w:ind w:left="1211" w:firstLine="65"/>
        <w:rPr>
          <w:rFonts w:ascii="Calibri" w:eastAsia="Calibri" w:hAnsi="Calibri" w:cs="Calibri"/>
          <w:color w:val="464646"/>
          <w:sz w:val="22"/>
          <w:szCs w:val="22"/>
          <w:u w:val="single" w:color="6B676B"/>
          <w:lang w:val="es-ES" w:eastAsia="es-ES" w:bidi="es-ES"/>
        </w:rPr>
      </w:pPr>
      <w:r>
        <w:rPr>
          <w:rFonts w:ascii="Calibri" w:eastAsia="Calibri" w:hAnsi="Calibri" w:cs="Calibri"/>
          <w:color w:val="464646"/>
          <w:sz w:val="22"/>
          <w:szCs w:val="22"/>
          <w:lang w:val="es-ES" w:eastAsia="es-ES" w:bidi="es-ES"/>
        </w:rPr>
        <w:t>Código de acceso:</w:t>
      </w:r>
      <w:r w:rsidR="00457918" w:rsidRPr="00457918">
        <w:rPr>
          <w:rFonts w:ascii="Calibri" w:eastAsia="Calibri" w:hAnsi="Calibri" w:cs="Calibri"/>
          <w:color w:val="464646"/>
          <w:sz w:val="22"/>
          <w:szCs w:val="22"/>
          <w:lang w:val="es-ES" w:eastAsia="es-ES" w:bidi="es-ES"/>
        </w:rPr>
        <w:t xml:space="preserve"> número de registro turístico del establecimiento</w:t>
      </w:r>
    </w:p>
    <w:p w14:paraId="44D89B91" w14:textId="77777777" w:rsidR="00457918" w:rsidRPr="00457918" w:rsidRDefault="00457918" w:rsidP="00131E48">
      <w:pPr>
        <w:widowControl w:val="0"/>
        <w:autoSpaceDE w:val="0"/>
        <w:autoSpaceDN w:val="0"/>
        <w:spacing w:before="196"/>
        <w:ind w:left="1218"/>
        <w:jc w:val="both"/>
        <w:rPr>
          <w:rFonts w:ascii="Calibri" w:eastAsia="Calibri" w:hAnsi="Calibri" w:cs="Calibri"/>
          <w:color w:val="3F3F3F"/>
          <w:sz w:val="22"/>
          <w:szCs w:val="22"/>
          <w:lang w:val="es-ES" w:eastAsia="es-ES" w:bidi="es-ES"/>
        </w:rPr>
      </w:pPr>
      <w:r w:rsidRPr="00457918">
        <w:rPr>
          <w:rFonts w:ascii="Calibri" w:eastAsia="Calibri" w:hAnsi="Calibri" w:cs="Calibri"/>
          <w:color w:val="383838"/>
          <w:sz w:val="22"/>
          <w:szCs w:val="22"/>
          <w:lang w:val="es-ES" w:eastAsia="es-ES" w:bidi="es-ES"/>
        </w:rPr>
        <w:t xml:space="preserve">En el caso de necesitar mayor información, </w:t>
      </w:r>
      <w:r w:rsidRPr="00457918">
        <w:rPr>
          <w:rFonts w:ascii="Calibri" w:eastAsia="Calibri" w:hAnsi="Calibri" w:cs="Calibri"/>
          <w:color w:val="363636"/>
          <w:sz w:val="22"/>
          <w:szCs w:val="22"/>
          <w:lang w:val="es-ES" w:eastAsia="es-ES" w:bidi="es-ES"/>
        </w:rPr>
        <w:t xml:space="preserve">pueden </w:t>
      </w:r>
      <w:r w:rsidRPr="00457918">
        <w:rPr>
          <w:rFonts w:ascii="Calibri" w:eastAsia="Calibri" w:hAnsi="Calibri" w:cs="Calibri"/>
          <w:color w:val="2B2B2B"/>
          <w:sz w:val="22"/>
          <w:szCs w:val="22"/>
          <w:lang w:val="es-ES" w:eastAsia="es-ES" w:bidi="es-ES"/>
        </w:rPr>
        <w:t xml:space="preserve">contactarse </w:t>
      </w:r>
      <w:r w:rsidRPr="00457918">
        <w:rPr>
          <w:rFonts w:ascii="Calibri" w:eastAsia="Calibri" w:hAnsi="Calibri" w:cs="Calibri"/>
          <w:color w:val="3F3F3F"/>
          <w:sz w:val="22"/>
          <w:szCs w:val="22"/>
          <w:lang w:val="es-ES" w:eastAsia="es-ES" w:bidi="es-ES"/>
        </w:rPr>
        <w:t xml:space="preserve">con </w:t>
      </w:r>
      <w:r w:rsidRPr="00457918">
        <w:rPr>
          <w:rFonts w:ascii="Calibri" w:eastAsia="Calibri" w:hAnsi="Calibri" w:cs="Calibri"/>
          <w:color w:val="444444"/>
          <w:sz w:val="22"/>
          <w:szCs w:val="22"/>
          <w:lang w:val="es-ES" w:eastAsia="es-ES" w:bidi="es-ES"/>
        </w:rPr>
        <w:t xml:space="preserve">el </w:t>
      </w:r>
      <w:r w:rsidRPr="00457918">
        <w:rPr>
          <w:rFonts w:ascii="Calibri" w:eastAsia="Calibri" w:hAnsi="Calibri" w:cs="Calibri"/>
          <w:color w:val="3B3B3B"/>
          <w:sz w:val="22"/>
          <w:szCs w:val="22"/>
          <w:lang w:val="es-ES" w:eastAsia="es-ES" w:bidi="es-ES"/>
        </w:rPr>
        <w:t xml:space="preserve">personal </w:t>
      </w:r>
      <w:r w:rsidRPr="00457918">
        <w:rPr>
          <w:rFonts w:ascii="Calibri" w:eastAsia="Calibri" w:hAnsi="Calibri" w:cs="Calibri"/>
          <w:color w:val="3F3F3F"/>
          <w:sz w:val="22"/>
          <w:szCs w:val="22"/>
          <w:lang w:val="es-ES" w:eastAsia="es-ES" w:bidi="es-ES"/>
        </w:rPr>
        <w:t xml:space="preserve">de </w:t>
      </w:r>
      <w:r w:rsidRPr="00457918">
        <w:rPr>
          <w:rFonts w:ascii="Calibri" w:eastAsia="Calibri" w:hAnsi="Calibri" w:cs="Calibri"/>
          <w:color w:val="383838"/>
          <w:sz w:val="22"/>
          <w:szCs w:val="22"/>
          <w:lang w:val="es-ES" w:eastAsia="es-ES" w:bidi="es-ES"/>
        </w:rPr>
        <w:t xml:space="preserve">Tesorería, </w:t>
      </w:r>
      <w:r w:rsidRPr="00457918">
        <w:rPr>
          <w:rFonts w:ascii="Calibri" w:eastAsia="Calibri" w:hAnsi="Calibri" w:cs="Calibri"/>
          <w:color w:val="494949"/>
          <w:sz w:val="22"/>
          <w:szCs w:val="22"/>
          <w:lang w:val="es-ES" w:eastAsia="es-ES" w:bidi="es-ES"/>
        </w:rPr>
        <w:t xml:space="preserve">al </w:t>
      </w:r>
      <w:r w:rsidRPr="00457918">
        <w:rPr>
          <w:rFonts w:ascii="Calibri" w:eastAsia="Calibri" w:hAnsi="Calibri" w:cs="Calibri"/>
          <w:color w:val="444444"/>
          <w:sz w:val="22"/>
          <w:szCs w:val="22"/>
          <w:lang w:val="es-ES" w:eastAsia="es-ES" w:bidi="es-ES"/>
        </w:rPr>
        <w:t xml:space="preserve">teléfono </w:t>
      </w:r>
      <w:r w:rsidRPr="00457918">
        <w:rPr>
          <w:rFonts w:ascii="Calibri" w:eastAsia="Calibri" w:hAnsi="Calibri" w:cs="Calibri"/>
          <w:color w:val="3F3F3F"/>
          <w:sz w:val="22"/>
          <w:szCs w:val="22"/>
          <w:lang w:val="es-ES" w:eastAsia="es-ES" w:bidi="es-ES"/>
        </w:rPr>
        <w:t>2993300 extensión 1039-1011 o/y a los siguientes correos electrónicos:</w:t>
      </w:r>
    </w:p>
    <w:p w14:paraId="44D4E64A" w14:textId="1AA9C0F6" w:rsidR="00457918" w:rsidRPr="00457918" w:rsidRDefault="00131E48" w:rsidP="00131E48">
      <w:pPr>
        <w:widowControl w:val="0"/>
        <w:autoSpaceDE w:val="0"/>
        <w:autoSpaceDN w:val="0"/>
        <w:spacing w:before="196"/>
        <w:ind w:left="1218"/>
        <w:jc w:val="both"/>
        <w:rPr>
          <w:rFonts w:ascii="Calibri" w:eastAsia="Calibri" w:hAnsi="Calibri" w:cs="Calibri"/>
          <w:sz w:val="22"/>
          <w:szCs w:val="22"/>
          <w:lang w:val="es-ES" w:eastAsia="es-ES" w:bidi="es-ES"/>
        </w:rPr>
      </w:pPr>
      <w:r>
        <w:rPr>
          <w:rFonts w:ascii="Calibri" w:eastAsia="Calibri" w:hAnsi="Calibri" w:cs="Calibri"/>
          <w:sz w:val="22"/>
          <w:szCs w:val="22"/>
          <w:lang w:val="es-ES" w:eastAsia="es-ES" w:bidi="es-ES"/>
        </w:rPr>
        <w:t xml:space="preserve"> </w:t>
      </w:r>
      <w:hyperlink r:id="rId8" w:history="1">
        <w:r w:rsidRPr="00D8063C">
          <w:rPr>
            <w:rStyle w:val="Hipervnculo"/>
            <w:rFonts w:ascii="Calibri" w:eastAsia="Calibri" w:hAnsi="Calibri" w:cs="Calibri"/>
            <w:sz w:val="22"/>
            <w:szCs w:val="22"/>
            <w:lang w:val="es-ES" w:eastAsia="es-ES" w:bidi="es-ES"/>
          </w:rPr>
          <w:t>vponce@quito-turismo.gob.ec</w:t>
        </w:r>
      </w:hyperlink>
      <w:r>
        <w:rPr>
          <w:rFonts w:ascii="Calibri" w:eastAsia="Calibri" w:hAnsi="Calibri" w:cs="Calibri"/>
          <w:sz w:val="22"/>
          <w:szCs w:val="22"/>
          <w:lang w:val="es-ES" w:eastAsia="es-ES" w:bidi="es-ES"/>
        </w:rPr>
        <w:t xml:space="preserve">     </w:t>
      </w:r>
    </w:p>
    <w:p w14:paraId="6584340D" w14:textId="77777777" w:rsidR="00131E48" w:rsidRDefault="00131E48" w:rsidP="00131E48">
      <w:pPr>
        <w:widowControl w:val="0"/>
        <w:autoSpaceDE w:val="0"/>
        <w:autoSpaceDN w:val="0"/>
        <w:spacing w:before="196"/>
        <w:ind w:left="1218"/>
        <w:jc w:val="both"/>
        <w:rPr>
          <w:rFonts w:ascii="Calibri" w:eastAsia="Calibri" w:hAnsi="Calibri" w:cs="Calibri"/>
          <w:sz w:val="22"/>
          <w:szCs w:val="22"/>
          <w:lang w:val="es-ES" w:eastAsia="es-ES" w:bidi="es-ES"/>
        </w:rPr>
      </w:pPr>
      <w:r>
        <w:rPr>
          <w:rFonts w:ascii="Calibri" w:eastAsia="Calibri" w:hAnsi="Calibri" w:cs="Calibri"/>
          <w:color w:val="383838"/>
          <w:sz w:val="22"/>
          <w:szCs w:val="22"/>
          <w:lang w:val="es-ES" w:eastAsia="es-ES" w:bidi="es-ES"/>
        </w:rPr>
        <w:t xml:space="preserve"> </w:t>
      </w:r>
      <w:hyperlink r:id="rId9" w:history="1">
        <w:r w:rsidRPr="00D8063C">
          <w:rPr>
            <w:rStyle w:val="Hipervnculo"/>
            <w:rFonts w:ascii="Calibri" w:eastAsia="Calibri" w:hAnsi="Calibri" w:cs="Calibri"/>
            <w:sz w:val="22"/>
            <w:szCs w:val="22"/>
            <w:lang w:val="es-ES" w:eastAsia="es-ES" w:bidi="es-ES"/>
          </w:rPr>
          <w:t>mpatino@quito-turismo.gob.ec</w:t>
        </w:r>
      </w:hyperlink>
      <w:r>
        <w:rPr>
          <w:rFonts w:ascii="Calibri" w:eastAsia="Calibri" w:hAnsi="Calibri" w:cs="Calibri"/>
          <w:color w:val="383838"/>
          <w:sz w:val="22"/>
          <w:szCs w:val="22"/>
          <w:lang w:val="es-ES" w:eastAsia="es-ES" w:bidi="es-ES"/>
        </w:rPr>
        <w:t xml:space="preserve"> </w:t>
      </w:r>
    </w:p>
    <w:p w14:paraId="7F1AF9D6" w14:textId="77777777" w:rsidR="00131E48" w:rsidRDefault="00457918" w:rsidP="00131E48">
      <w:pPr>
        <w:widowControl w:val="0"/>
        <w:autoSpaceDE w:val="0"/>
        <w:autoSpaceDN w:val="0"/>
        <w:spacing w:before="196"/>
        <w:ind w:left="1218"/>
        <w:jc w:val="both"/>
        <w:rPr>
          <w:rFonts w:ascii="Calibri" w:eastAsia="Calibri" w:hAnsi="Calibri" w:cs="Calibri"/>
          <w:sz w:val="22"/>
          <w:szCs w:val="22"/>
          <w:lang w:val="es-ES" w:eastAsia="es-ES" w:bidi="es-ES"/>
        </w:rPr>
      </w:pPr>
      <w:r w:rsidRPr="00457918">
        <w:rPr>
          <w:rFonts w:ascii="Calibri" w:eastAsia="Calibri" w:hAnsi="Calibri" w:cs="Calibri"/>
          <w:sz w:val="22"/>
          <w:szCs w:val="22"/>
          <w:lang w:val="es-ES" w:eastAsia="es-ES" w:bidi="es-ES"/>
        </w:rPr>
        <w:t xml:space="preserve">Particular que pongo en su conocimiento para los fines legales pertinentes.    </w:t>
      </w:r>
    </w:p>
    <w:p w14:paraId="69144193" w14:textId="77777777" w:rsidR="00131E48" w:rsidRDefault="00457918" w:rsidP="00131E48">
      <w:pPr>
        <w:widowControl w:val="0"/>
        <w:autoSpaceDE w:val="0"/>
        <w:autoSpaceDN w:val="0"/>
        <w:spacing w:before="196"/>
        <w:ind w:left="1218"/>
        <w:jc w:val="both"/>
        <w:rPr>
          <w:rFonts w:ascii="Calibri" w:eastAsia="Calibri" w:hAnsi="Calibri" w:cs="Calibri"/>
          <w:sz w:val="22"/>
          <w:szCs w:val="22"/>
          <w:lang w:val="es-ES" w:eastAsia="es-ES" w:bidi="es-ES"/>
        </w:rPr>
      </w:pPr>
      <w:r w:rsidRPr="00457918">
        <w:rPr>
          <w:rFonts w:ascii="Calibri" w:eastAsia="Calibri" w:hAnsi="Calibri" w:cs="Calibri"/>
          <w:sz w:val="22"/>
          <w:szCs w:val="22"/>
          <w:lang w:val="es-ES" w:eastAsia="es-ES" w:bidi="es-ES"/>
        </w:rPr>
        <w:t>Atentamente</w:t>
      </w:r>
      <w:r w:rsidR="00131E48">
        <w:rPr>
          <w:rFonts w:ascii="Calibri" w:eastAsia="Calibri" w:hAnsi="Calibri" w:cs="Calibri"/>
          <w:sz w:val="22"/>
          <w:szCs w:val="22"/>
          <w:lang w:val="es-ES" w:eastAsia="es-ES" w:bidi="es-ES"/>
        </w:rPr>
        <w:t>,</w:t>
      </w:r>
    </w:p>
    <w:p w14:paraId="70E09CE3" w14:textId="49249DDC" w:rsidR="00457918" w:rsidRPr="00457918" w:rsidRDefault="00457918" w:rsidP="00131E48">
      <w:pPr>
        <w:widowControl w:val="0"/>
        <w:autoSpaceDE w:val="0"/>
        <w:autoSpaceDN w:val="0"/>
        <w:spacing w:before="196"/>
        <w:ind w:left="1218"/>
        <w:jc w:val="both"/>
        <w:rPr>
          <w:rFonts w:ascii="Calibri" w:eastAsia="Calibri" w:hAnsi="Calibri" w:cs="Calibri"/>
          <w:sz w:val="22"/>
          <w:szCs w:val="22"/>
          <w:lang w:val="es-ES" w:eastAsia="es-ES" w:bidi="es-ES"/>
        </w:rPr>
      </w:pPr>
      <w:r w:rsidRPr="00457918">
        <w:rPr>
          <w:rFonts w:ascii="Calibri" w:eastAsia="Calibri" w:hAnsi="Calibri" w:cs="Calibri"/>
          <w:sz w:val="22"/>
          <w:szCs w:val="22"/>
          <w:lang w:val="es-ES" w:eastAsia="es-ES" w:bidi="es-ES"/>
        </w:rPr>
        <w:t>Empresa Pública de Gestión de Destino Turístico – Quito Turismo</w:t>
      </w:r>
    </w:p>
    <w:p w14:paraId="1D0AC9F5" w14:textId="2F1BC14D" w:rsidR="000D10C8" w:rsidRPr="007262B0" w:rsidRDefault="000D10C8" w:rsidP="00131E48">
      <w:pPr>
        <w:ind w:left="1218"/>
        <w:jc w:val="both"/>
        <w:rPr>
          <w:sz w:val="22"/>
          <w:szCs w:val="22"/>
        </w:rPr>
      </w:pPr>
    </w:p>
    <w:sectPr w:rsidR="000D10C8" w:rsidRPr="007262B0" w:rsidSect="002271BA">
      <w:headerReference w:type="default" r:id="rId10"/>
      <w:pgSz w:w="11906" w:h="16838"/>
      <w:pgMar w:top="1701" w:right="1416"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8FFA5" w14:textId="77777777" w:rsidR="000C2D6C" w:rsidRDefault="000C2D6C" w:rsidP="004F6694">
      <w:r>
        <w:separator/>
      </w:r>
    </w:p>
  </w:endnote>
  <w:endnote w:type="continuationSeparator" w:id="0">
    <w:p w14:paraId="5C8BE7C1" w14:textId="77777777" w:rsidR="000C2D6C" w:rsidRDefault="000C2D6C" w:rsidP="004F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B101F" w14:textId="77777777" w:rsidR="000C2D6C" w:rsidRDefault="000C2D6C" w:rsidP="004F6694">
      <w:r>
        <w:separator/>
      </w:r>
    </w:p>
  </w:footnote>
  <w:footnote w:type="continuationSeparator" w:id="0">
    <w:p w14:paraId="4BB13A78" w14:textId="77777777" w:rsidR="000C2D6C" w:rsidRDefault="000C2D6C" w:rsidP="004F66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FD433" w14:textId="74534E05" w:rsidR="00A26080" w:rsidRDefault="0025272D">
    <w:pPr>
      <w:pStyle w:val="Encabezado"/>
    </w:pPr>
    <w:r>
      <w:rPr>
        <w:noProof/>
        <w:lang w:eastAsia="es-EC"/>
      </w:rPr>
      <w:drawing>
        <wp:anchor distT="0" distB="0" distL="114300" distR="114300" simplePos="0" relativeHeight="251658240" behindDoc="1" locked="0" layoutInCell="1" allowOverlap="1" wp14:anchorId="3AE4FEB7" wp14:editId="6A56492E">
          <wp:simplePos x="0" y="0"/>
          <wp:positionH relativeFrom="column">
            <wp:posOffset>-1071245</wp:posOffset>
          </wp:positionH>
          <wp:positionV relativeFrom="paragraph">
            <wp:posOffset>-440267</wp:posOffset>
          </wp:positionV>
          <wp:extent cx="7535333" cy="10652607"/>
          <wp:effectExtent l="0" t="0" r="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35333" cy="10652607"/>
                  </a:xfrm>
                  <a:prstGeom prst="rect">
                    <a:avLst/>
                  </a:prstGeom>
                </pic:spPr>
              </pic:pic>
            </a:graphicData>
          </a:graphic>
          <wp14:sizeRelH relativeFrom="page">
            <wp14:pctWidth>0</wp14:pctWidth>
          </wp14:sizeRelH>
          <wp14:sizeRelV relativeFrom="page">
            <wp14:pctHeight>0</wp14:pctHeight>
          </wp14:sizeRelV>
        </wp:anchor>
      </w:drawing>
    </w:r>
  </w:p>
  <w:p w14:paraId="3E4AB708" w14:textId="77777777" w:rsidR="00A26080" w:rsidRDefault="00A26080">
    <w:pPr>
      <w:pStyle w:val="Encabezado"/>
    </w:pPr>
  </w:p>
  <w:p w14:paraId="7EDE8553" w14:textId="0B425DDA" w:rsidR="00A26080" w:rsidRDefault="00A26080">
    <w:pPr>
      <w:pStyle w:val="Encabezado"/>
    </w:pPr>
  </w:p>
  <w:p w14:paraId="0C173C81" w14:textId="01427A68" w:rsidR="0025272D" w:rsidRDefault="0025272D">
    <w:pPr>
      <w:pStyle w:val="Encabezado"/>
    </w:pPr>
  </w:p>
  <w:p w14:paraId="6E5EA692" w14:textId="77777777" w:rsidR="0025272D" w:rsidRDefault="0025272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E4369"/>
    <w:multiLevelType w:val="hybridMultilevel"/>
    <w:tmpl w:val="9B409650"/>
    <w:lvl w:ilvl="0" w:tplc="300A0001">
      <w:start w:val="1"/>
      <w:numFmt w:val="bullet"/>
      <w:lvlText w:val=""/>
      <w:lvlJc w:val="left"/>
      <w:pPr>
        <w:ind w:left="2025" w:hanging="360"/>
      </w:pPr>
      <w:rPr>
        <w:rFonts w:ascii="Symbol" w:hAnsi="Symbol" w:hint="default"/>
      </w:rPr>
    </w:lvl>
    <w:lvl w:ilvl="1" w:tplc="300A0003" w:tentative="1">
      <w:start w:val="1"/>
      <w:numFmt w:val="bullet"/>
      <w:lvlText w:val="o"/>
      <w:lvlJc w:val="left"/>
      <w:pPr>
        <w:ind w:left="2745" w:hanging="360"/>
      </w:pPr>
      <w:rPr>
        <w:rFonts w:ascii="Courier New" w:hAnsi="Courier New" w:cs="Courier New" w:hint="default"/>
      </w:rPr>
    </w:lvl>
    <w:lvl w:ilvl="2" w:tplc="300A0005" w:tentative="1">
      <w:start w:val="1"/>
      <w:numFmt w:val="bullet"/>
      <w:lvlText w:val=""/>
      <w:lvlJc w:val="left"/>
      <w:pPr>
        <w:ind w:left="3465" w:hanging="360"/>
      </w:pPr>
      <w:rPr>
        <w:rFonts w:ascii="Wingdings" w:hAnsi="Wingdings" w:hint="default"/>
      </w:rPr>
    </w:lvl>
    <w:lvl w:ilvl="3" w:tplc="300A0001" w:tentative="1">
      <w:start w:val="1"/>
      <w:numFmt w:val="bullet"/>
      <w:lvlText w:val=""/>
      <w:lvlJc w:val="left"/>
      <w:pPr>
        <w:ind w:left="4185" w:hanging="360"/>
      </w:pPr>
      <w:rPr>
        <w:rFonts w:ascii="Symbol" w:hAnsi="Symbol" w:hint="default"/>
      </w:rPr>
    </w:lvl>
    <w:lvl w:ilvl="4" w:tplc="300A0003" w:tentative="1">
      <w:start w:val="1"/>
      <w:numFmt w:val="bullet"/>
      <w:lvlText w:val="o"/>
      <w:lvlJc w:val="left"/>
      <w:pPr>
        <w:ind w:left="4905" w:hanging="360"/>
      </w:pPr>
      <w:rPr>
        <w:rFonts w:ascii="Courier New" w:hAnsi="Courier New" w:cs="Courier New" w:hint="default"/>
      </w:rPr>
    </w:lvl>
    <w:lvl w:ilvl="5" w:tplc="300A0005" w:tentative="1">
      <w:start w:val="1"/>
      <w:numFmt w:val="bullet"/>
      <w:lvlText w:val=""/>
      <w:lvlJc w:val="left"/>
      <w:pPr>
        <w:ind w:left="5625" w:hanging="360"/>
      </w:pPr>
      <w:rPr>
        <w:rFonts w:ascii="Wingdings" w:hAnsi="Wingdings" w:hint="default"/>
      </w:rPr>
    </w:lvl>
    <w:lvl w:ilvl="6" w:tplc="300A0001" w:tentative="1">
      <w:start w:val="1"/>
      <w:numFmt w:val="bullet"/>
      <w:lvlText w:val=""/>
      <w:lvlJc w:val="left"/>
      <w:pPr>
        <w:ind w:left="6345" w:hanging="360"/>
      </w:pPr>
      <w:rPr>
        <w:rFonts w:ascii="Symbol" w:hAnsi="Symbol" w:hint="default"/>
      </w:rPr>
    </w:lvl>
    <w:lvl w:ilvl="7" w:tplc="300A0003" w:tentative="1">
      <w:start w:val="1"/>
      <w:numFmt w:val="bullet"/>
      <w:lvlText w:val="o"/>
      <w:lvlJc w:val="left"/>
      <w:pPr>
        <w:ind w:left="7065" w:hanging="360"/>
      </w:pPr>
      <w:rPr>
        <w:rFonts w:ascii="Courier New" w:hAnsi="Courier New" w:cs="Courier New" w:hint="default"/>
      </w:rPr>
    </w:lvl>
    <w:lvl w:ilvl="8" w:tplc="300A0005" w:tentative="1">
      <w:start w:val="1"/>
      <w:numFmt w:val="bullet"/>
      <w:lvlText w:val=""/>
      <w:lvlJc w:val="left"/>
      <w:pPr>
        <w:ind w:left="77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694"/>
    <w:rsid w:val="000B0E17"/>
    <w:rsid w:val="000C2D6C"/>
    <w:rsid w:val="000D10C8"/>
    <w:rsid w:val="00131E48"/>
    <w:rsid w:val="0013265E"/>
    <w:rsid w:val="00197BDE"/>
    <w:rsid w:val="001A4332"/>
    <w:rsid w:val="002271BA"/>
    <w:rsid w:val="0025272D"/>
    <w:rsid w:val="002C79E4"/>
    <w:rsid w:val="003D69A5"/>
    <w:rsid w:val="003F14EC"/>
    <w:rsid w:val="00457918"/>
    <w:rsid w:val="00477E77"/>
    <w:rsid w:val="004E31A2"/>
    <w:rsid w:val="004E6832"/>
    <w:rsid w:val="004F6694"/>
    <w:rsid w:val="00583291"/>
    <w:rsid w:val="0062795F"/>
    <w:rsid w:val="007038DC"/>
    <w:rsid w:val="007262B0"/>
    <w:rsid w:val="00896277"/>
    <w:rsid w:val="00A26080"/>
    <w:rsid w:val="00AA6591"/>
    <w:rsid w:val="00AC203D"/>
    <w:rsid w:val="00BA0A17"/>
    <w:rsid w:val="00BF3674"/>
    <w:rsid w:val="00C51E6A"/>
    <w:rsid w:val="00D2096C"/>
    <w:rsid w:val="00D32BAA"/>
    <w:rsid w:val="00E02A19"/>
    <w:rsid w:val="00E34E81"/>
    <w:rsid w:val="00EB4341"/>
    <w:rsid w:val="00F126A8"/>
    <w:rsid w:val="00FA3D87"/>
    <w:rsid w:val="00FA7645"/>
    <w:rsid w:val="00FB76A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6023"/>
  <w15:chartTrackingRefBased/>
  <w15:docId w15:val="{33EDDC1C-72B3-4245-BA94-2D4475CD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6694"/>
    <w:pPr>
      <w:tabs>
        <w:tab w:val="center" w:pos="4252"/>
        <w:tab w:val="right" w:pos="8504"/>
      </w:tabs>
    </w:pPr>
  </w:style>
  <w:style w:type="character" w:customStyle="1" w:styleId="EncabezadoCar">
    <w:name w:val="Encabezado Car"/>
    <w:basedOn w:val="Fuentedeprrafopredeter"/>
    <w:link w:val="Encabezado"/>
    <w:uiPriority w:val="99"/>
    <w:rsid w:val="004F6694"/>
  </w:style>
  <w:style w:type="paragraph" w:styleId="Piedepgina">
    <w:name w:val="footer"/>
    <w:basedOn w:val="Normal"/>
    <w:link w:val="PiedepginaCar"/>
    <w:uiPriority w:val="99"/>
    <w:unhideWhenUsed/>
    <w:rsid w:val="004F6694"/>
    <w:pPr>
      <w:tabs>
        <w:tab w:val="center" w:pos="4252"/>
        <w:tab w:val="right" w:pos="8504"/>
      </w:tabs>
    </w:pPr>
  </w:style>
  <w:style w:type="character" w:customStyle="1" w:styleId="PiedepginaCar">
    <w:name w:val="Pie de página Car"/>
    <w:basedOn w:val="Fuentedeprrafopredeter"/>
    <w:link w:val="Piedepgina"/>
    <w:uiPriority w:val="99"/>
    <w:rsid w:val="004F6694"/>
  </w:style>
  <w:style w:type="character" w:styleId="Hipervnculo">
    <w:name w:val="Hyperlink"/>
    <w:basedOn w:val="Fuentedeprrafopredeter"/>
    <w:uiPriority w:val="99"/>
    <w:unhideWhenUsed/>
    <w:rsid w:val="001A4332"/>
    <w:rPr>
      <w:color w:val="0563C1" w:themeColor="hyperlink"/>
      <w:u w:val="single"/>
    </w:rPr>
  </w:style>
  <w:style w:type="character" w:customStyle="1" w:styleId="UnresolvedMention">
    <w:name w:val="Unresolved Mention"/>
    <w:basedOn w:val="Fuentedeprrafopredeter"/>
    <w:uiPriority w:val="99"/>
    <w:semiHidden/>
    <w:unhideWhenUsed/>
    <w:rsid w:val="001A4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once@quito-turismo.gob.ec" TargetMode="External"/><Relationship Id="rId3" Type="http://schemas.openxmlformats.org/officeDocument/2006/relationships/settings" Target="settings.xml"/><Relationship Id="rId7" Type="http://schemas.openxmlformats.org/officeDocument/2006/relationships/hyperlink" Target="http://172.16.1.152:8080/tasahotelera.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patino@quito-turismo.gob.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915</Words>
  <Characters>5035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 Guamialamá Ruano</dc:creator>
  <cp:keywords/>
  <dc:description/>
  <cp:lastModifiedBy>Monica Patino</cp:lastModifiedBy>
  <cp:revision>5</cp:revision>
  <cp:lastPrinted>2022-01-05T14:25:00Z</cp:lastPrinted>
  <dcterms:created xsi:type="dcterms:W3CDTF">2022-08-04T14:00:00Z</dcterms:created>
  <dcterms:modified xsi:type="dcterms:W3CDTF">2022-08-04T14:29:00Z</dcterms:modified>
</cp:coreProperties>
</file>